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9 vom 15. Mai 2025</w:t>
      </w:r>
    </w:p>
    <w:p>
      <w:r>
        <w:t>BE Verwaltungsgericht, 2025-05-15, DE</w:t>
      </w:r>
    </w:p>
    <w:p>
      <w:r>
        <w:rPr>
          <w:b/>
        </w:rPr>
        <w:t xml:space="preserve">Quelle: </w:t>
      </w:r>
      <w:r>
        <w:t>https://mcp.opencaselaw.ch/entscheid/be_verwaltungsgericht_100 2024 9</w:t>
      </w:r>
    </w:p>
    <w:p>
      <w:r>
        <w:t>FR: BE_VERWALTUNGSGERICHT 100 2024 9 du 15 mai 2025</w:t>
      </w:r>
    </w:p>
    <w:p>
      <w:r>
        <w:t>IT: BE_VERWALTUNGSGERICHT 100 2024 9 del 15 maggio 2025</w:t>
      </w:r>
    </w:p>
    <w:p>
      <w:pPr>
        <w:pStyle w:val="Heading2"/>
      </w:pPr>
      <w:r>
        <w:t>Erwägungen</w:t>
      </w:r>
    </w:p>
    <w:p>
      <w:r>
        <w:rPr>
          <w:b/>
        </w:rPr>
        <w:t>E. 1.1</w:t>
      </w:r>
    </w:p>
    <w:p>
      <w:r>
        <w:t>Das Verwaltungsgericht beurteilt als letzte kantonale Instanz Be- schwerden gegen Verfügungen und Entscheide, die sich auf öffentliches Recht stützen (Art. 74 Abs. 1 des Gesetzes vom 23. Mai 1989 über die Ver- waltungsrechtspflege [VRPG; BSG 155.21]). Es beurteilt ferner kantonal letztinstanzlich Beschwerden betreffend kantonale Wahl- und Abstimmungs- sachen nach den Vorschriften des Gesetzes vom 5. Juni 2012 über die poli- tischen Rechte (PRG; BSG 141.1) sowie betreffend kommunale Erlasse, Wahl- und Abstimmungssachen sowie (weitere) kommunale Beschlüsse (Art. 74 Abs. 2 VRPG). Es prüft seine Zuständigkeit von Amtes wegen (Art. 3 Abs. 4 und Art. 20a VRPG; statt vieler BVR 2021 S. 349 E. 1.1; Michel Daum bzw. Ruth Herzog, in Herzog/Daum [Hrsg.], Kommentar zum bernischen VRPG, 2. Aufl. 2020, Art. 3 N. 22 bzw. Art. 74 N. 19).</w:t>
      </w:r>
    </w:p>
    <w:p>
      <w:r>
        <w:rPr>
          <w:b/>
        </w:rPr>
        <w:t>E. 1.2</w:t>
      </w:r>
    </w:p>
    <w:p>
      <w:r>
        <w:t>Fraglich ist, ob ein taugliches Anfechtungsobjekt vorliegt. Die Be- schwerde richtet sich im Hauptstandpunkt gegen Art. 2 Abs. 3 und 4 ZulaV. Die Beschwerdeführenden gehen davon aus, dass es sich bei diesen Vor- schriften um generell-konkrete Anordnungen des Regierungsrats handle (Allgemeinverfügung). Das Verwaltungsgericht sei zur Überprüfung solcher Anordnungen zuständig (Beschwerde S. 5 ff.). Der Kanton Bern argumen-</w:t>
      </w:r>
    </w:p>
    <w:p>
      <w:r>
        <w:t>Urteil des Verwaltungsgerichts des Kantons Bern vom 23.05.2025, Nr. 100.2024.9U, Seite 6 tiert hingegen, es sei von generell-abstrakten Bestimmungen auszugehen (kantonaler Erlass). Sie könnten nicht beim Verwaltungsgericht angefochten werden (Beschwerdeantwort, act. 5).</w:t>
      </w:r>
    </w:p>
    <w:p>
      <w:r>
        <w:rPr>
          <w:b/>
        </w:rPr>
        <w:t>E. 1.3</w:t>
      </w:r>
    </w:p>
    <w:p>
      <w:r>
        <w:t>Aus der Zuständigkeitsbestimmung von Art. 74 VRPG ergibt sich, dass beim Verwaltungsgericht (Individual-)Verfügungen anfechtbar sind. Hingegen kennt der Kanton Bern auf kantonaler Ebene keine abstrakte Nor- menkontrolle kantonaler Erlasse (vorne E. 1.1; vgl. Ruth Herzog, a.a.O., Art. 74 N. 86 ff.). Dafür steht grundsätzlich die Beschwerde in öffentlich- rechtlichen Angelegenheiten an das Bundesgericht zur Verfügung (vgl. Art. 82 Bst. b und Art. 87 Abs. 1 des Bundesgesetzes vom 17. Juni 2005 über das Bundesgericht [Bundesgerichtsgesetz, BGG; SR 173.110]). Allge- meinverfügungen stehen zwischen Erlass und (Individual-)Verfügung; sie haben das Merkmal des generellen Charakters mit den Rechtssätzen ge- mein, dasjenige der Konkretheit des Regelungsobjekts mit den Verfügungen (vgl. BGE 134 II 272 E. 3, 125 I 313 E. 2a; Markus Müller, in Herzog/Daum [Hrsg.], Kommentar zum bernischen VRPG, 2. Aufl. 2020, Art. 49 N. 13). Sie können begriffsnotwendig ohne konkretisierende Anordnung angewendet werden und werden daher den gewöhnlichen Verfügungen gleichgestellt, womit sie sich durch direkte Anfechtbarkeit kennzeichnen (BGE 125 I 313 E. 2b und 4, 134 II 272 E. 3.2; Ruth Herzog, a.a.O., Art. 60 N. 37). Für die Frage, ob ein taugliches Anfechtungsobjekt vorliegt, ist daher entscheidend, ob Art. 2 Abs. 3 und 4 ZulaV als Allgemeinverfügung oder Erlass zu qualifi- zieren sind.</w:t>
      </w:r>
    </w:p>
    <w:p>
      <w:r>
        <w:rPr>
          <w:b/>
        </w:rPr>
        <w:t>E. 2.1</w:t>
      </w:r>
    </w:p>
    <w:p>
      <w:r>
        <w:t>Die Allgemeinverfügung legt Rechte oder Pflichten für ein (anony- mes) Personenkollektiv fest und bezieht sich auf ein konkretes Anordnungs- objekt (generell-konkret). Der Adressatenkreis einer Allgemeinverfügung ist typischerweise offen und umfasst auch künftige, im Verfügungszeitpunkt noch nicht bekannte Adressatinnen und Adressaten. Seltener weist die All- gemeinverfügung einen geschlossenen Adressatenkreis auf (zum Ganzen Markus Müller, a.a.O., Art. 49 N. 13 mit Hinweisen). Das Strukturelement «konkret» bringt zum Ausdruck, dass die Allgemeinverfügung Rechte und</w:t>
      </w:r>
    </w:p>
    <w:p>
      <w:r>
        <w:t>Urteil des Verwaltungsgerichts des Kantons Bern vom 23.05.2025, Nr. 100.2024.9U, Seite 7 Pflichten mit Bezug auf einzelne individuell bestimmte Sachen gegenständ- licher oder nichtgegenständlicher Natur regelt. Entscheidend ist somit die Bestimmtheit des Anordnungsobjekts (vgl. BGer 1C_109/2022 vom 28.8.2023, in ZBl 2025 S. 255 E. 4.2 f.). Als Anordnungsobjekt gilt jene Sa- che gegenständlicher oder nichtgegenständlicher Natur, auf die sich die den Adressatinnen und Adressaten auferlegten Rechte oder Pflichten beziehen. Verlangt wird, dass es sich beim Anordnungsobjekt um eine einzelne Sache handelt (Tschannen/Müller/Kern, Allgemeines Verwaltungsrecht, 5. Aufl. 2022, § 28 N. 691 ff. mit Hinweisen; Tobias Jaag, Die Allgemeinverfügung im schweizerischen Recht, in ZBl 1984 S. 433 ff., 444). Beansprucht eine staatliche Anordnung für eine unbestimmte Vielzahl an Adressatinnen und Adressaten sowie Tatbeständen Verbindlichkeit, d.h. ohne Rücksicht auf ei- nen Einzelfall, handelt es sich bei ihr um einen Erlass bzw. Rechtssatz (BGE 151 I 19 E. 6.1, 135 II 38 E. 4.3 mit Hinweisen).</w:t>
      </w:r>
    </w:p>
    <w:p>
      <w:r>
        <w:rPr>
          <w:b/>
        </w:rPr>
        <w:t>E. 2.2</w:t>
      </w:r>
    </w:p>
    <w:p>
      <w:r>
        <w:t>Die Abgrenzung der Allgemeinverfügung gegenüber anderen Hand- lungsformen, insbesondere der Verordnung, gestaltet sich bisweilen kom- plex. Ursächlich dafür ist, dass sich das Strukturmerkmal «konkret» teilweise nicht leicht von einer abstrakten Anordnung unterscheiden lässt (Daniela Thurnherr, Allgemeinverfügungen im Kontext von Covid-19, in Arthur Brun- ner et al. [Hrsg.], nomois peithou – gehorche den Gesetzen, Liber amicorum für Hansjörg Seiler, 2022, S. 337 ff., 341). Das Bundesgericht behandelte das Reit- und Fahrverbot über rund 50 Kilometer entlang den Tössufern als Allgemeinverfügung, weil es sich auf einen bestimmten, wenn auch langen Strassenabschnitt bezog. Entscheidend für die Qualifizierung als Allgemein- verfügung war, dass die Anordnung einen bestimmten Gegenstand aufwies, nämlich den genau feststehenden Weg; ein Fahrverbot für eine bestimmte Strecke ist deshalb konkret und aus diesem Grund keine Verordnung (vgl. BGE 101 Ia 73; dazu jüngst auch BGer 1C_109/2022 vom 28.8.2023, in ZBl 2025 S. 255 E. 4). Das gilt auch für andere lokale Verkehrsanordnungen wie Geschwindigkeitsbeschränkungen und Parkverbote. Tarife sind dage- gen grundsätzlich als Verordnungen zu qualifizieren, wenn sie sich auf Leis- tungen beziehen, die in unbestimmter Zahl und Variation erbracht werden, wie etwa ein Taxitarif (BGer 2C_940/2010 vom 17.5.2011 E. 1) oder Studi- engebühren einer staatlichen Hochschule (BGE 121 I 273; zum Ganzen To- bias Jaag, Die Verordnung im schweizerischen Recht, in ZBl 2011 S. 629 ff.,</w:t>
      </w:r>
    </w:p>
    <w:p>
      <w:r>
        <w:t>Urteil des Verwaltungsgerichts des Kantons Bern vom 23.05.2025, Nr. 100.2024.9U, Seite 8 631 f.). Erlasse liegen schliesslich auch bei Anordnungen vor, die aufgrund ihres spezifischen Regelungsgehalts zwar nur für einen beschränkten Per- sonenkreis relevant sind, aber dennoch eine unbestimmte Vielzahl von Sachverhalten normieren. So weist gemäss Bundesgericht die Änderung des Studienplans für die Abteilung Architektur der Eidgenössischen Techni- schen Hochschule (ETH) eine generell-abstrakte Struktur und damit Erlass- charakter auf (BGE 98 Ib 461; Daniela Thurnherr, a.a.O., S. 343).</w:t>
      </w:r>
    </w:p>
    <w:p>
      <w:r>
        <w:rPr>
          <w:b/>
        </w:rPr>
        <w:t>E. 2.3</w:t>
      </w:r>
    </w:p>
    <w:p>
      <w:r>
        <w:t>Die ZulaV regelt in Art. 2 Abs. 3 und 4 die Höchstzahlen pro medizi- nisches Fachgebiet und pro Region im Kanton Bern (vorne Bst. A). Gemäss dem Vortrag zur ZulaV basieren die Kriterien zur Festlegung der Höchstzah- len auf dem bestehenden Angebot und dem Versorgungsgrad je medizini- schem Fachbereich und Region. Ein Versorgungsgrad von über 100 Prozent bedeutet, dass die Versorgung überdurchschnittlich bzw. kostenintensiver ist, als dies anhand der Patientinnen und Patienten zu erwarten gewesen wäre. Der Zulassungsstopp erfolgt allerdings erst bei einem Versorgungs- grad von 115 Prozent, um einen gewissen Wettbewerb zu ermöglichen, in den nächsten Jahren anstehende Pensionierungen abzufedern und erste Er- fahrungen in der Umsetzung des Zulassungsstopps zu sammeln. Die Fest- legung der Höchstzahlen soll periodisch an die aktuelle Versorgungssitua- tion und die vom Bund periodisch berechneten Versorgungsgrade angepasst werden (Vortrag der GSI zur ZulaV vom 22.11.2023, einsehbar unter: &lt;www.rr.be.ch&gt;, Rubriken «Beschlüsse/Beschlüsse nach Direktion/GSI/ 2023» [nachfolgend: Vortrag ZulaV], S. 5). Die Höchstzahlen werden festge- legt, indem das Angebot an Ärztinnen und Ärzten aufgrund der Arbeitszeit der Ärztinnen und Ärzte in Vollzeitäquivalenten ermittelt wird (Vortrag ZulaV, S. 3 mit Verweis auf Art. 2 Abs. 1 der Verordnung vom 23. Juni 2021 über die Festlegung der Höchstzahlen für Ärztinnen und Ärzte im ambulanten Be- reich [SR 832.107]).</w:t>
      </w:r>
    </w:p>
    <w:p>
      <w:r>
        <w:rPr>
          <w:b/>
        </w:rPr>
        <w:t>E. 2.4</w:t>
      </w:r>
    </w:p>
    <w:p>
      <w:r>
        <w:t>Zuständig für den Vollzug der ZulaV ist das Gesundheitsamt der GSI (Art. 5 ZulaV). Es prüft bei jedem Zulassungsgesuch, Gesuch um zusätzliche Einstellung von Ärztinnen und Ärzten oder Gesuch um Erhöhung des Be- schäftigungsgrads einer Ärztin oder eines Arztes, ob überhaupt Vollzeitäqui- valente verfügbar sind (vgl. Art. 1 Abs. 3 ZulaV und dazu Vortrag ZulaV, S. 4). Daraus erhellt, dass von den Höchstzahlen nicht nur eine unbestimmte</w:t>
      </w:r>
    </w:p>
    <w:p>
      <w:r>
        <w:t>Urteil des Verwaltungsgerichts des Kantons Bern vom 23.05.2025, Nr. 100.2024.9U, Seite 9 Vielzahl von Ärztinnen und Ärzte betroffen ist. Art. 2 Abs. 3 und 4 ZulaV re- geln auch eine unbestimmte Vielzahl von Tatbeständen. Im Zeitpunkt des Erlasses der ZulaV war weder bestimmt noch bestimmbar, wie viele Bewilli- gungen zukünftig gestützt auf die erwähnten Bestimmungen erteilt werden, legt die Verordnung doch lediglich die Höchstzahlen im Sinn von Vollzeitä- quivalenten fest und können alte Bewilligungen auslaufen und neue wieder hinzukommen. Auch die Reduktion oder die Erhöhung von Arbeitspensen einzelner Ärztinnen und Ärzte wirkt sich auf die verfügbaren Vollzeitäquiva- lente aus. Art. 2 Abs. 3 und 4 ZulaV beziehen sich daher nicht auf ein indivi- duell bestimmtes Anordnungsobjekt. Nichts zu ihren Gunsten ableiten kön- nen die Beschwerdeführenden im Übrigen aus den Ausführungen des Regierungsrats des Kantons Solothurn in der Botschaft zur Änderung des kantonalen Gesundheitsgesetzes (Beschwerde S. 7 f.). Danach ist die An- ordnung eines «sofortigen» Zulassungsstopps in einem bestimmten medizi- nischen Fachgebiet gestützt auf Art. 55a Abs. 6 KVG als Allgemeinverfü- gung zu betrachten (Botschaft und Entwurf des Regierungsrats des Kantons Solothurn zur Änderung des Gesundheitsgesetzes vom 12.12.2022, S. 12 einsehbar unter: &lt;www.so.ch&gt;, Rubriken «Parlament/Sessionen/März-Ses- sion 2023/3. Sitzung»). Im Gegensatz zur Festlegung von Höchstzahlen in der ZulaV wird mit diesem Zulassungsstopp in einem bestimmten Fachge- biet ein konkreter Lebenssachverhalt verbindlich geregelt.</w:t>
      </w:r>
    </w:p>
    <w:p>
      <w:r>
        <w:rPr>
          <w:b/>
        </w:rPr>
        <w:t>E. 2.5</w:t>
      </w:r>
    </w:p>
    <w:p>
      <w:r>
        <w:t>Entgegen der Ansicht der Beschwerdeführenden sind Art. 2 Abs. 3 und 4 ZulaV somit als (generell-abstrakte) Erlassbestimmungen und nicht als (generell-konkrete) Allgemeinverfügung zu qualifizieren. Dem im Eventu- alstandpunkt angesprochenen Art. 12 ZulaV, der nur das Inkrafttreten regelt, kommt in diesem Zusammenhang keine eigenständige Bedeutung zu. Kan- tonale Erlasse (hier: des Regierungsrats) können beim Verwaltungsgericht wie dargelegt nicht angefochten werden (vgl. vorne E. 1.3).</w:t>
      </w:r>
    </w:p>
    <w:p>
      <w:r>
        <w:rPr>
          <w:b/>
        </w:rPr>
        <w:t>E. 2.6</w:t>
      </w:r>
    </w:p>
    <w:p>
      <w:r>
        <w:t>An dieser Beurteilung ändert das Urteil 9C_38/2024 des Bundesge- richts vom 15. Januar 2025 nichts (Eingabe vom 25.3.2025, act. 17). Inwie- fern das Bundesgericht die Auffassung vertreten haben soll, Art. 2 Abs. 3 und 4 ZulaV seien nicht als generell-abstrakter Erlass aufzufassen, ist nicht erkennbar. Im Gegenteil: Das Bundesgericht hält in diesem Urteil ausdrück- lich fest, dass es sich bei der ZulaV um einen allgemeinen und abstrakten</w:t>
      </w:r>
    </w:p>
    <w:p>
      <w:r>
        <w:t>Urteil des Verwaltungsgerichts des Kantons Bern vom 23.05.2025, Nr. 100.2024.9U, Seite 10 Rechtsakt handelt, der auf kantonaler Ebene nicht angefochten werden könne. Deshalb sei die Beschwerde in öffentlich-rechtlichen Angelegenhei- ten an das Bundesgericht gemäss Art. 82 Bst. b BGG zulässig (E. 2.1 des Urteils). Vor diesem Hintergrund kann den Beschwerdeführenden auch nicht gefolgt werden, soweit sie vorbringen, das Bundesgericht habe die Höchst- zahlen von Art. 2 Abs. 3 und 4 ZulaV gar nicht überprüft und damit zum Aus- druck gebracht, dass es die erwähnten Bestimmungen als Allgemeinverfü- gung definiere. Die Höchstzahlen waren sehr wohl Gegenstand der höch- strichterlichen Überprüfung (vgl. insb. E. 12 und 13 des Urteils).</w:t>
      </w:r>
    </w:p>
    <w:p>
      <w:r>
        <w:rPr>
          <w:b/>
        </w:rPr>
        <w:t>E. 3</w:t>
      </w:r>
    </w:p>
    <w:p>
      <w:r>
        <w:t>Die Beschwerdeführenden beantragen, es sei im verwaltungsgerichtlichen Verfahren eine mündliche Schlussverhandlung im Sinn von Art. 6 Ziff. 1 der Europäischen Menschenrechtskonvention (EMRK; SR 0.101) durchzuführen (Beschwerde S. 2 und 10 f.).</w:t>
      </w:r>
    </w:p>
    <w:p>
      <w:r>
        <w:rPr>
          <w:b/>
        </w:rPr>
        <w:t>E. 3.1</w:t>
      </w:r>
    </w:p>
    <w:p>
      <w:r>
        <w:t>Das Verfahren vor dem Verwaltungsgericht ist schriftlich, ausser die- ses ordne eine Instruktionsverhandlung, eine mündliche Schlussverhand- lung im Sinn von Art. 6 Ziff. 1 EMRK oder eine Urteilsberatung an (Art. 31, 36 und 37 VRPG; BVR 2014 S. 197 E. 3.1). Gemäss Art. 6 Ziff. 1 EMRK hat jede Person ein Recht darauf, dass über Streitigkeiten in Bezug auf ihre zi- vilrechtlichen Ansprüche und Verpflichtungen («civil rights») oder über eine gegen sie erhobene strafrechtliche Anklage von einem unabhängigen und unparteiischen, auf Gesetz beruhenden Gericht in einem fairen Verfahren, öffentlich und innerhalb angemessener Frist verhandelt wird. Der Begriff «ci- vil rights» bezieht sich nach der bundesgerichtlichen Rechtsprechung nicht nur auf zivilrechtliche Streitigkeiten im engeren Sinn, sondern betrifft auch Verwaltungsakte einer hoheitlich handelnden Behörde, sofern diese mass- geblich in Rechte und Verpflichtungen privatrechtlicher Natur eingreifen (statt vieler BGE 144 I 340 E. 3.3.4; Michel Daum, a.a.O., Art. 1 N. 25). Auch wenn ein «civil right» betroffen ist, gilt die Pflicht zur Durchführung einer öf- fentlichen und mündlichen Verhandlung nach Art. 6 Ziff. 1 EMRK jedoch nicht absolut. Insbesondere in Fällen, in denen sich ausschliesslich rechtli- che Fragen stellen, kann ein ohne mündliche Verhandlung durchgeführter</w:t>
      </w:r>
    </w:p>
    <w:p>
      <w:r>
        <w:t>Urteil des Verwaltungsgerichts des Kantons Bern vom 23.05.2025, Nr. 100.2024.9U, Seite 11 Prozess den konventionsrechtlichen Anforderungen genügen (vgl. EGMR 33060/10 vom 5.4.2016, Blum gegen Österreich, Ziff. 70; BGer 9C_38/2024 vom 15.1.2025 E. 4.2.1, je mit weiteren Hinweisen).</w:t>
      </w:r>
    </w:p>
    <w:p>
      <w:r>
        <w:rPr>
          <w:b/>
        </w:rPr>
        <w:t>E. 3.2</w:t>
      </w:r>
    </w:p>
    <w:p>
      <w:r>
        <w:t>Hier stellt sich die Frage, ob Art. 2 Abs. 3 und 4 ZulaV als Allgemein- verfügung oder generell-abstrakter Erlass zu qualifizieren sind. Es ist einzig über rechtliche Fragen zu entscheiden (Abgrenzung der Allgemeinverfügung vom Erlass). Die Parteien konnten sich umfassend zu diesen äussern. Die sich stellenden Rechtsfragen können aufgrund der Akten und der schriftli- chen Parteivorbringen sachgerecht entschieden werden. Unter diesen Um- ständen wird der Verfahrensantrag auf Durchführung einer mündlichen Ver- handlung abgewiesen.</w:t>
      </w:r>
    </w:p>
    <w:p>
      <w:r>
        <w:rPr>
          <w:b/>
        </w:rPr>
        <w:t>E. 4</w:t>
      </w:r>
    </w:p>
    <w:p>
      <w:r>
        <w:t>Die Verwaltungsgerichtsbeschwerde erweist sich nach dem Gesagten und insbesondere mit Blick auf das Urteil 9C_38/2024 des Bundesgerichts vom 15. Januar 2025 als offensichtlich unzulässig. Auf die Beschwerde ist folglich nicht einzutreten. Das Urteil fällt in die einzelrichterliche Zuständigkeit (Art. 57 Abs. 1 des Gesetzes vom 11. Juni 2009 über die Organisation der Gerichtsbehörden und der Staatsanwaltschaft [GSOG; BSG 161.1]). Mit dem instanzabschliessenden Entscheid erübrigt es sich zu beurteilen, ob der Beschwerde die aufschiebende Wirkung zu entziehen oder zu belassen ist (vgl. dazu auch Daum/Rechsteiner, in Herzog/Daum [Hrsg.], Kommentar zum bernischen VRPG, 2. Aufl. 2020, Art. 68 N. 44).</w:t>
      </w:r>
    </w:p>
    <w:p>
      <w:r>
        <w:rPr>
          <w:b/>
        </w:rPr>
        <w:t>E. 5</w:t>
      </w:r>
    </w:p>
    <w:p>
      <w:r>
        <w:t>Bei diesem Prozessausgang haben die Beschwerdeführenden unter Solida- rhaft die Verfahrenskosten zu tragen (Art. 108 Abs. 1 und Art. 106 VRPG). Parteikosten sind keine zu sprechen (Art. 108 Abs. 3 i.V.m. Art. 104 VRPG).</w:t>
      </w:r>
    </w:p>
    <w:p>
      <w:r>
        <w:t>Urteil des Verwaltungsgerichts des Kantons Bern vom 23.05.2025, Nr. 100.2024.9U, Seite 12 Demnach entscheidet der Einzelrichter: 1. Auf die Beschwerde wird nicht eingetreten. 2. Die Kosten des Verfahrens vor dem Verwaltungsgericht, bestimmt auf eine Pauschalgebühr von Fr. 4ʹ000.--, werden den Beschwerdeführenden auferlegt. 3. Es werden keine Parteikosten gesprochen. 4. Zu eröffnen: - Beschwerdeführende - Beschwerdegegner Der Einzelrichter: Die Gerichtsschreiberin: Rechtsmittelbelehrung Gegen dieses Urteil kann innert 30 Tagen seit Eröffnung beim Bundesgericht, Schweizerhofquai 6, 6004 Luzern, Beschwerde in öffentlich-rechtlichen Angelegen- heiten gemäss Art. 39 ff., 82 ff. und 90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